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Nvidia's $2 billion boost propels CoreWeave into new AI infrastructure heights amid mounting risks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Nvidia has committed a further $2 billion to CoreWeave, increasing its equity stake in the GPU-rental specialist as the chipmaker deepens a strategic alliance intended to accelerate the buildout of large-scale AI data centres. According to Nvidia’s announcement, the fresh capital lifts its ownership to 11.5% and cements a supply and technology arrangement that will give CoreWeave priority access to multiple future Nvidia platforms. </w:t>
      </w:r>
      <w:r/>
    </w:p>
    <w:p>
      <w:r/>
      <w:r>
        <w:t xml:space="preserve">CoreWeave’s business has expanded rapidly since its IPO in March 2025, when the company listed on Nasdaq under the ticker CRWV. Industry reporting highlights that the firm has pivoted from its crypto-mining origins into an AI-focused cloud provider and has seen strong demand for on‑demand GPU capacity from hyperscalers and AI developers. Capacity Media and other outlets note a substantial backlog of customer commitments that underscores persistent market appetite for rented GPU cycles. </w:t>
      </w:r>
      <w:r/>
    </w:p>
    <w:p>
      <w:r/>
      <w:r>
        <w:t xml:space="preserve">Nvidia’s support goes beyond a capital injection. The chipmaker has agreed terms that include buying a range of CoreWeave’s unused capacity as a backstop and supplying CoreWeave with Nvidia CPUs and storage products alongside successive GPU generations, according to Nvidia’s statement. Analysts and commentators say this arrangement effectively aligns the two companies’ commercial incentives and reduces CoreWeave’s go‑to‑market friction for customers seeking the latest Nvidia technologies. </w:t>
      </w:r>
      <w:r/>
    </w:p>
    <w:p>
      <w:r/>
      <w:r>
        <w:t xml:space="preserve">The rapid expansion has produced eye‑capturing top‑line growth but mounting financing costs. CoreWeave reported substantial revenue growth and analysts have pointed to multi‑billion dollar capital expenditure programmes; third‑party coverage shows heavy quarterly capex and a construction‑in‑progress pipeline. At the same time, interest charges have risen sharply as the company leverages to fund capacity, contributing to operating results that are under pressure despite improving cash generation from operations. </w:t>
      </w:r>
      <w:r/>
    </w:p>
    <w:p>
      <w:r/>
      <w:r>
        <w:t xml:space="preserve">That dynamic is already visible in CoreWeave’s recent results and outlook. Industry summaries show quarterly capital spending measured in the billions, a widened construction pipeline and elevated interest expenses that have materially reduced operating income, even as revenue has more than doubled year‑on‑year in the most recent quarters. Credit facilities and secured financing arrangements have been used to accelerate buildouts, signalling lenders’ willingness to back the thesis but also adding complexity to the balance sheet. </w:t>
      </w:r>
      <w:r/>
    </w:p>
    <w:p>
      <w:r/>
      <w:r>
        <w:t xml:space="preserve">Execution risks remain significant. Analysts warn that any delays from developers or infrastructure partners will slow the conversion of construction into rentable capacity, directly curbing revenue growth and extending the period over which CoreWeave must carry financing costs. Media reporting highlighted recent setbacks from a third‑party provider that trimmed near‑term capacity additions and illustrates how a capital‑intensive expansion can be vulnerable to construction timing. </w:t>
      </w:r>
      <w:r/>
    </w:p>
    <w:p>
      <w:r/>
      <w:r>
        <w:t xml:space="preserve">For investors and customers the Nvidia infusion is both a vote of confidence and a reminder of the concentrated nature of CoreWeave’s model: the company’s growth hinges on continuing access to Nvidia silicon and on executing a multi‑year build programme. Commentators note the arrangement benefits Nvidia by creating a high‑volume channel for its hardware while offering CoreWeave financial cushion and technology priority; whether that partnership will translate into sustained profitability depends on execution, cost of capital and the pace at which rented capacity is brought online.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w:t>
      </w:r>
      <w:hyperlink r:id="rId11">
        <w:r>
          <w:rPr>
            <w:color w:val="0000EE"/>
            <w:u w:val="single"/>
          </w:rPr>
          <w:t>[3]</w:t>
        </w:r>
      </w:hyperlink>
      <w:r>
        <w:t xml:space="preserve">- Paragraph 2: </w:t>
      </w:r>
      <w:hyperlink r:id="rId12">
        <w:r>
          <w:rPr>
            <w:color w:val="0000EE"/>
            <w:u w:val="single"/>
          </w:rPr>
          <w:t>[7]</w:t>
        </w:r>
      </w:hyperlink>
      <w:r>
        <w:t>,</w:t>
      </w:r>
      <w:hyperlink r:id="rId13">
        <w:r>
          <w:rPr>
            <w:color w:val="0000EE"/>
            <w:u w:val="single"/>
          </w:rPr>
          <w:t>[4]</w:t>
        </w:r>
      </w:hyperlink>
      <w:r>
        <w:t xml:space="preserve">- Paragraph 3: </w:t>
      </w:r>
      <w:hyperlink r:id="rId10">
        <w:r>
          <w:rPr>
            <w:color w:val="0000EE"/>
            <w:u w:val="single"/>
          </w:rPr>
          <w:t>[2]</w:t>
        </w:r>
      </w:hyperlink>
      <w:r>
        <w:t>,</w:t>
      </w:r>
      <w:hyperlink r:id="rId14">
        <w:r>
          <w:rPr>
            <w:color w:val="0000EE"/>
            <w:u w:val="single"/>
          </w:rPr>
          <w:t>[6]</w:t>
        </w:r>
      </w:hyperlink>
      <w:r>
        <w:t xml:space="preserve">- Paragraph 4: </w:t>
      </w:r>
      <w:hyperlink r:id="rId13">
        <w:r>
          <w:rPr>
            <w:color w:val="0000EE"/>
            <w:u w:val="single"/>
          </w:rPr>
          <w:t>[4]</w:t>
        </w:r>
      </w:hyperlink>
      <w:r>
        <w:t>,</w:t>
      </w:r>
      <w:hyperlink r:id="rId15">
        <w:r>
          <w:rPr>
            <w:color w:val="0000EE"/>
            <w:u w:val="single"/>
          </w:rPr>
          <w:t>[5]</w:t>
        </w:r>
      </w:hyperlink>
      <w:r>
        <w:t xml:space="preserve">- Paragraph 5: </w:t>
      </w:r>
      <w:hyperlink r:id="rId15">
        <w:r>
          <w:rPr>
            <w:color w:val="0000EE"/>
            <w:u w:val="single"/>
          </w:rPr>
          <w:t>[5]</w:t>
        </w:r>
      </w:hyperlink>
      <w:r>
        <w:t>,</w:t>
      </w:r>
      <w:hyperlink r:id="rId13">
        <w:r>
          <w:rPr>
            <w:color w:val="0000EE"/>
            <w:u w:val="single"/>
          </w:rPr>
          <w:t>[4]</w:t>
        </w:r>
      </w:hyperlink>
      <w:r>
        <w:t xml:space="preserve">- Paragraph 6: </w:t>
      </w:r>
      <w:hyperlink r:id="rId15">
        <w:r>
          <w:rPr>
            <w:color w:val="0000EE"/>
            <w:u w:val="single"/>
          </w:rPr>
          <w:t>[5]</w:t>
        </w:r>
      </w:hyperlink>
      <w:r>
        <w:t>,</w:t>
      </w:r>
      <w:hyperlink r:id="rId13">
        <w:r>
          <w:rPr>
            <w:color w:val="0000EE"/>
            <w:u w:val="single"/>
          </w:rPr>
          <w:t>[4]</w:t>
        </w:r>
      </w:hyperlink>
      <w:r>
        <w:t xml:space="preserve">- Paragraph 7: </w:t>
      </w:r>
      <w:hyperlink r:id="rId14">
        <w:r>
          <w:rPr>
            <w:color w:val="0000EE"/>
            <w:u w:val="single"/>
          </w:rPr>
          <w:t>[6]</w:t>
        </w:r>
      </w:hyperlink>
      <w:r>
        <w:t>,</w:t>
      </w:r>
      <w:hyperlink r:id="rId10">
        <w:r>
          <w:rPr>
            <w:color w:val="0000EE"/>
            <w:u w:val="single"/>
          </w:rPr>
          <w:t>[2]</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https://blockonomi.com/is-coreweave-crwv-stock-a-buy-after-nvidias-latest-move/</w:t>
        </w:r>
      </w:hyperlink>
      <w:r>
        <w:t xml:space="preserve"> - Please view link - unable to able to access data</w:t>
      </w:r>
      <w:r/>
    </w:p>
    <w:p>
      <w:pPr>
        <w:pStyle w:val="ListNumber"/>
        <w:spacing w:line="240" w:lineRule="auto"/>
        <w:ind w:left="720"/>
      </w:pPr>
      <w:r/>
      <w:hyperlink r:id="rId10">
        <w:r>
          <w:rPr>
            <w:color w:val="0000EE"/>
            <w:u w:val="single"/>
          </w:rPr>
          <w:t>https://nvidianews.nvidia.com/news/nvidia-and-coreweave-strengthen-collaboration-to-accelerate-buildout-of-ai-factories</w:t>
        </w:r>
      </w:hyperlink>
      <w:r>
        <w:t xml:space="preserve"> - Nvidia has increased its investment in CoreWeave by $2 billion, raising its ownership stake to 11.5%. This investment aims to support CoreWeave's plan to build over 5 gigawatts of AI data center capacity by 2030, accelerating AI adoption globally. The partnership also includes CoreWeave adopting Nvidia's CPU and storage platforms, as well as multiple generations of Nvidia GPUs, to enhance its AI infrastructure. This collaboration underscores Nvidia's confidence in CoreWeave's growth strategy and its role in advancing AI technologies.</w:t>
      </w:r>
      <w:r/>
    </w:p>
    <w:p>
      <w:pPr>
        <w:pStyle w:val="ListNumber"/>
        <w:spacing w:line="240" w:lineRule="auto"/>
        <w:ind w:left="720"/>
      </w:pPr>
      <w:r/>
      <w:hyperlink r:id="rId11">
        <w:r>
          <w:rPr>
            <w:color w:val="0000EE"/>
            <w:u w:val="single"/>
          </w:rPr>
          <w:t>https://www.tomshardware.com/tech-industry/big-tech/nvidia-pumps-another-usd2-billion-into-coreweave-and-announces-standalone-availability-of-vera-cpu-chipmaker-increases-stake-in-its-customer-to-9-percent</w:t>
        </w:r>
      </w:hyperlink>
      <w:r>
        <w:t xml:space="preserve"> - Nvidia has increased its investment in CoreWeave by an additional $2 billion, raising its stake from approximately 6% to 9%. This move reflects Nvidia's confidence in CoreWeave's growth prospects and business model. The investment will fund CoreWeave's expansion plans, including the buildout of AI data centers. Additionally, CoreWeave will be the first customer to receive Nvidia's Vera CPU as a standalone product, enhancing its AI infrastructure capabilities. This strategic partnership highlights Nvidia's commitment to advancing AI technologies through collaboration.</w:t>
      </w:r>
      <w:r/>
    </w:p>
    <w:p>
      <w:pPr>
        <w:pStyle w:val="ListNumber"/>
        <w:spacing w:line="240" w:lineRule="auto"/>
        <w:ind w:left="720"/>
      </w:pPr>
      <w:r/>
      <w:hyperlink r:id="rId13">
        <w:r>
          <w:rPr>
            <w:color w:val="0000EE"/>
            <w:u w:val="single"/>
          </w:rPr>
          <w:t>https://www.capacitymedia.com/article/ai-cloud-demand-rockets-coreweave</w:t>
        </w:r>
      </w:hyperlink>
      <w:r>
        <w:t xml:space="preserve"> - CoreWeave's revenue backlog reached $30.1 billion as of June 30, 2025, underscoring sustained demand for its services. The company operates 33 GPU-based AI data centres across the U.S. and Europe, providing high-performance computing resources to clients such as OpenAI. In July 2025, CoreWeave closed a $2.6 billion secured debt financing facility, led by Morgan Stanley and MUFG, to accelerate expansion and service delivery. Analysts view this as a strategic move to capitalize on continued AI demand while navigating the challenges of profitability.</w:t>
      </w:r>
      <w:r/>
    </w:p>
    <w:p>
      <w:pPr>
        <w:pStyle w:val="ListNumber"/>
        <w:spacing w:line="240" w:lineRule="auto"/>
        <w:ind w:left="720"/>
      </w:pPr>
      <w:r/>
      <w:hyperlink r:id="rId15">
        <w:r>
          <w:rPr>
            <w:color w:val="0000EE"/>
            <w:u w:val="single"/>
          </w:rPr>
          <w:t>https://www.tipranks.com/news/company-announcements/coreweave-inc-q3-earnings-call-highlights-growth</w:t>
        </w:r>
      </w:hyperlink>
      <w:r>
        <w:t xml:space="preserve"> - CoreWeave reported a net loss of $110 million for Q3, with interest expenses rising to $311 million due to increased debt for scaling infrastructure. This reflects the financial challenges associated with rapid expansion. Capital expenditures in Q3 totaled $1.9 billion, lower than anticipated due to delays from a third-party data center provider. Construction in progress increased by $2.8 billion quarter over quarter, indicating ongoing infrastructure development. Looking ahead, CoreWeave expects 2025 revenue to range between $5.05 billion and $5.15 billion, with adjusted operating income projected between $690 million and $720 million.</w:t>
      </w:r>
      <w:r/>
    </w:p>
    <w:p>
      <w:pPr>
        <w:pStyle w:val="ListNumber"/>
        <w:spacing w:line="240" w:lineRule="auto"/>
        <w:ind w:left="720"/>
      </w:pPr>
      <w:r/>
      <w:hyperlink r:id="rId14">
        <w:r>
          <w:rPr>
            <w:color w:val="0000EE"/>
            <w:u w:val="single"/>
          </w:rPr>
          <w:t>https://www.forbes.com/sites/roomykhan/2025/11/03/all-roads-lead-to-nvidia-bankrolling-its-own-ai-gold-rush/</w:t>
        </w:r>
      </w:hyperlink>
      <w:r>
        <w:t xml:space="preserve"> - Nvidia's investment in CoreWeave has been highly profitable, with the company's stake now valued at approximately $3.3 billion, nearly ten times its initial investment. This success is attributed to CoreWeave's significant customer contracts, including those with Meta and Nvidia, totaling over $20 billion. The partnership has also led to substantial GPU purchases from Nvidia, generating additional revenue. This strategic relationship exemplifies Nvidia's approach to capitalising on the growing AI market through strategic investments and collaborations.</w:t>
      </w:r>
      <w:r/>
    </w:p>
    <w:p>
      <w:pPr>
        <w:pStyle w:val="ListNumber"/>
        <w:spacing w:line="240" w:lineRule="auto"/>
        <w:ind w:left="720"/>
      </w:pPr>
      <w:r/>
      <w:hyperlink r:id="rId12">
        <w:r>
          <w:rPr>
            <w:color w:val="0000EE"/>
            <w:u w:val="single"/>
          </w:rPr>
          <w:t>https://www.kiplinger.com/investing/ipos/coreweave-ipo-should-you-buy-crwv-stock</w:t>
        </w:r>
      </w:hyperlink>
      <w:r>
        <w:t xml:space="preserve"> - CoreWeave, originally a crypto mining firm, has transitioned into a cloud-computing company focused on providing AI infrastructure, and recently completed one of the biggest IPOs in recent memory. On March 28, 2025, its shares began trading on the Nasdaq under the ticker symbol CRWV. The IPO was priced at $40 per share, raising $1.5 billion based on the sale of 37.5 million shares. Despite pricing below the expected range of $47–$55, trading began at $39 and closed at $40 on the first day.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lockonomi.com/is-coreweave-crwv-stock-a-buy-after-nvidias-latest-move/" TargetMode="External"/><Relationship Id="rId10" Type="http://schemas.openxmlformats.org/officeDocument/2006/relationships/hyperlink" Target="https://nvidianews.nvidia.com/news/nvidia-and-coreweave-strengthen-collaboration-to-accelerate-buildout-of-ai-factories" TargetMode="External"/><Relationship Id="rId11" Type="http://schemas.openxmlformats.org/officeDocument/2006/relationships/hyperlink" Target="https://www.tomshardware.com/tech-industry/big-tech/nvidia-pumps-another-usd2-billion-into-coreweave-and-announces-standalone-availability-of-vera-cpu-chipmaker-increases-stake-in-its-customer-to-9-percent" TargetMode="External"/><Relationship Id="rId12" Type="http://schemas.openxmlformats.org/officeDocument/2006/relationships/hyperlink" Target="https://www.kiplinger.com/investing/ipos/coreweave-ipo-should-you-buy-crwv-stock" TargetMode="External"/><Relationship Id="rId13" Type="http://schemas.openxmlformats.org/officeDocument/2006/relationships/hyperlink" Target="https://www.capacitymedia.com/article/ai-cloud-demand-rockets-coreweave" TargetMode="External"/><Relationship Id="rId14" Type="http://schemas.openxmlformats.org/officeDocument/2006/relationships/hyperlink" Target="https://www.forbes.com/sites/roomykhan/2025/11/03/all-roads-lead-to-nvidia-bankrolling-its-own-ai-gold-rush/" TargetMode="External"/><Relationship Id="rId15" Type="http://schemas.openxmlformats.org/officeDocument/2006/relationships/hyperlink" Target="https://www.tipranks.com/news/company-announcements/coreweave-inc-q3-earnings-call-highlights-growth"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