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Trust and governance hurdles slow adoption of agentic AI in life sciences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Although pharmaceutical and life sciences companies have actively explored agentic AI, a new industry study shows the technology’s promise is far from realised as trust, governance and data quality hold back scaled deployment. According to Camunda’s report, more than two-thirds of surveyed organisations see a gap between their agentic AI ambitions and what has actually been implemented, and only about one in ten use cases reached production in the last 12 months. </w:t>
      </w:r>
      <w:hyperlink r:id="rId9">
        <w:r>
          <w:rPr>
            <w:color w:val="0000EE"/>
            <w:u w:val="single"/>
          </w:rPr>
          <w:t>[1]</w:t>
        </w:r>
      </w:hyperlink>
      <w:hyperlink r:id="rId10">
        <w:r>
          <w:rPr>
            <w:color w:val="0000EE"/>
            <w:u w:val="single"/>
          </w:rPr>
          <w:t>[7]</w:t>
        </w:r>
      </w:hyperlink>
      <w:r/>
    </w:p>
    <w:p>
      <w:r/>
      <w:r>
        <w:t xml:space="preserve">The survey, conducted last autumn by Coleman Parkes for Camunda and drawing on responses from 1,150 senior automation and technology leaders across the US and Europe, highlights transparency and trust as primary barriers. "The promise of agentic AI is undeniable, but trust remains the key barrier to adoption," Kurt Petersen, senior vice president of customer success at Camunda, said in a press release, noting that caution is keeping many organisations at pilot stage or confined to isolated use cases. </w:t>
      </w:r>
      <w:hyperlink r:id="rId9">
        <w:r>
          <w:rPr>
            <w:color w:val="0000EE"/>
            <w:u w:val="single"/>
          </w:rPr>
          <w:t>[1]</w:t>
        </w:r>
      </w:hyperlink>
      <w:r/>
    </w:p>
    <w:p>
      <w:r/>
      <w:r>
        <w:t xml:space="preserve">Respondents signalled specific operational concerns that limit progress: roughly three quarters said most AI agents at their organisations are limited to chatbots or assistants that answer questions and summarise text, while half reported AI agents operate in silos rather than being integrated into end-to-end business processes. Two-thirds identified compliance as a deployment concern, reflecting the sector’s heavily regulated environment. The Camunda report argues that “agentic orchestration, not standalone agents, is the key to closing the AI vision-reality gap.” </w:t>
      </w:r>
      <w:hyperlink r:id="rId9">
        <w:r>
          <w:rPr>
            <w:color w:val="0000EE"/>
            <w:u w:val="single"/>
          </w:rPr>
          <w:t>[1]</w:t>
        </w:r>
      </w:hyperlink>
      <w:r/>
    </w:p>
    <w:p>
      <w:r/>
      <w:r>
        <w:t xml:space="preserve">External analyses corroborate the need for stronger governance, cultural change and risk management if agentic systems are to move beyond experiments. A Pistoia Alliance study found 51% of life‑science professionals view resistance to change as the biggest barrier to agentic AI adoption and reported that many organisations rarely assess AI-related risks, underscoring a shortfall in proactive oversight. Industry security leaders have similarly warned of high failure rates where governance and cybersecurity are weak. </w:t>
      </w:r>
      <w:hyperlink r:id="rId11">
        <w:r>
          <w:rPr>
            <w:color w:val="0000EE"/>
            <w:u w:val="single"/>
          </w:rPr>
          <w:t>[2]</w:t>
        </w:r>
      </w:hyperlink>
      <w:hyperlink r:id="rId12">
        <w:r>
          <w:rPr>
            <w:color w:val="0000EE"/>
            <w:u w:val="single"/>
          </w:rPr>
          <w:t>[5]</w:t>
        </w:r>
      </w:hyperlink>
      <w:r/>
    </w:p>
    <w:p>
      <w:r/>
      <w:r>
        <w:t xml:space="preserve">Practical obstacles extend beyond culture and policy to the raw materials that drive agentic systems. Technical commentary and sector guidance emphasise the critical role of high‑quality, integrated data, robust document capture and clear audit trails; poor inputs can produce costly errors in high‑stakes settings such as healthcare. With data sources increasingly siloed and technology stacks more complex, respondents told Camunda they want better tools to manage overlapping processes, precisely the kind of problems proponents say agentic orchestration can address if underpinned by reliable data and controls. </w:t>
      </w:r>
      <w:hyperlink r:id="rId13">
        <w:r>
          <w:rPr>
            <w:color w:val="0000EE"/>
            <w:u w:val="single"/>
          </w:rPr>
          <w:t>[4]</w:t>
        </w:r>
      </w:hyperlink>
      <w:hyperlink r:id="rId14">
        <w:r>
          <w:rPr>
            <w:color w:val="0000EE"/>
            <w:u w:val="single"/>
          </w:rPr>
          <w:t>[3]</w:t>
        </w:r>
      </w:hyperlink>
      <w:hyperlink r:id="rId9">
        <w:r>
          <w:rPr>
            <w:color w:val="0000EE"/>
            <w:u w:val="single"/>
          </w:rPr>
          <w:t>[1]</w:t>
        </w:r>
      </w:hyperlink>
      <w:r/>
    </w:p>
    <w:p>
      <w:r/>
      <w:r>
        <w:t xml:space="preserve">Academics and standards-minded researchers caution that current evaluation practices for agentic systems overemphasise technical metrics while downplaying human‑centred, safety and economic assessments, creating a gap between benchmark success and real‑world value. A recent review of published agentic‑AI work argues for balanced evaluation frameworks that include safety and human factors before scaling into regulated industries. That perspective reinforces the Camunda finding that many organisations do not yet consider their processes mature enough to support coordinated, multi‑agent workflows. </w:t>
      </w:r>
      <w:hyperlink r:id="rId15">
        <w:r>
          <w:rPr>
            <w:color w:val="0000EE"/>
            <w:u w:val="single"/>
          </w:rPr>
          <w:t>[6]</w:t>
        </w:r>
      </w:hyperlink>
      <w:hyperlink r:id="rId9">
        <w:r>
          <w:rPr>
            <w:color w:val="0000EE"/>
            <w:u w:val="single"/>
          </w:rPr>
          <w:t>[1]</w:t>
        </w:r>
      </w:hyperlink>
      <w:r/>
    </w:p>
    <w:p>
      <w:r/>
      <w:r>
        <w:t xml:space="preserve">Despite the hurdles, automation continues to show business value for life sciences organisations. Camunda’s survey found more than 90% of respondents reported higher business growth after introducing process automation, and firms have automated on average nearly half of their processes with plans to increase automation budgets by around 18% over the next two years. Consulting analysis suggests agentic AI could dramatically reconfigure the sector’s productivity and capacity if governance, data and security issues are resolved, with potential gains across R&amp;D, manufacturing and commercial functions. Achieving those gains will depend on translating pilot‑level promise into governed, auditable orchestration that earns the trust of regulators, clinicians and the organisations that must rely on it. </w:t>
      </w:r>
      <w:hyperlink r:id="rId9">
        <w:r>
          <w:rPr>
            <w:color w:val="0000EE"/>
            <w:u w:val="single"/>
          </w:rPr>
          <w:t>[1]</w:t>
        </w:r>
      </w:hyperlink>
      <w:hyperlink r:id="rId10">
        <w:r>
          <w:rPr>
            <w:color w:val="0000EE"/>
            <w:u w:val="single"/>
          </w:rPr>
          <w:t>[7]</w:t>
        </w:r>
      </w:hyperlink>
      <w:hyperlink r:id="rId14">
        <w:r>
          <w:rPr>
            <w:color w:val="0000EE"/>
            <w:u w:val="single"/>
          </w:rPr>
          <w:t>[3]</w:t>
        </w:r>
      </w:hyperlink>
      <w:r/>
    </w:p>
    <w:p>
      <w:pPr>
        <w:pStyle w:val="Heading3"/>
      </w:pPr>
      <w:r>
        <w:t>📌 Reference Map:</w:t>
      </w:r>
      <w:r/>
    </w:p>
    <w:p>
      <w:r/>
      <w:r>
        <w:t>Reference Map:</w:t>
      </w:r>
      <w:r/>
      <w:r/>
    </w:p>
    <w:p>
      <w:pPr>
        <w:pStyle w:val="ListBullet"/>
        <w:spacing w:line="240" w:lineRule="auto"/>
        <w:ind w:left="720"/>
      </w:pPr>
      <w:r/>
      <w:hyperlink r:id="rId9">
        <w:r>
          <w:rPr>
            <w:color w:val="0000EE"/>
            <w:u w:val="single"/>
          </w:rPr>
          <w:t>[1]</w:t>
        </w:r>
      </w:hyperlink>
      <w:r>
        <w:t xml:space="preserve"> (TechTarget / Pharma Life Sciences) - Paragraph 1, Paragraph 2, Paragraph 3, Paragraph 5, Paragraph 6, Paragraph 7</w:t>
      </w:r>
      <w:r/>
    </w:p>
    <w:p>
      <w:pPr>
        <w:pStyle w:val="ListBullet"/>
        <w:spacing w:line="240" w:lineRule="auto"/>
        <w:ind w:left="720"/>
      </w:pPr>
      <w:r/>
      <w:hyperlink r:id="rId10">
        <w:r>
          <w:rPr>
            <w:color w:val="0000EE"/>
            <w:u w:val="single"/>
          </w:rPr>
          <w:t>[7]</w:t>
        </w:r>
      </w:hyperlink>
      <w:r>
        <w:t xml:space="preserve"> (McKinsey) - Paragraph 1, Paragraph 7</w:t>
      </w:r>
      <w:r/>
    </w:p>
    <w:p>
      <w:pPr>
        <w:pStyle w:val="ListBullet"/>
        <w:spacing w:line="240" w:lineRule="auto"/>
        <w:ind w:left="720"/>
      </w:pPr>
      <w:r/>
      <w:hyperlink r:id="rId11">
        <w:r>
          <w:rPr>
            <w:color w:val="0000EE"/>
            <w:u w:val="single"/>
          </w:rPr>
          <w:t>[2]</w:t>
        </w:r>
      </w:hyperlink>
      <w:r>
        <w:t xml:space="preserve"> (Pharmiweb / Pistoia Alliance report) - Paragraph 4</w:t>
      </w:r>
      <w:r/>
    </w:p>
    <w:p>
      <w:pPr>
        <w:pStyle w:val="ListBullet"/>
        <w:spacing w:line="240" w:lineRule="auto"/>
        <w:ind w:left="720"/>
      </w:pPr>
      <w:r/>
      <w:hyperlink r:id="rId12">
        <w:r>
          <w:rPr>
            <w:color w:val="0000EE"/>
            <w:u w:val="single"/>
          </w:rPr>
          <w:t>[5]</w:t>
        </w:r>
      </w:hyperlink>
      <w:r>
        <w:t xml:space="preserve"> (ITPro / Palo Alto Networks) - Paragraph 4</w:t>
      </w:r>
      <w:r/>
    </w:p>
    <w:p>
      <w:pPr>
        <w:pStyle w:val="ListBullet"/>
        <w:spacing w:line="240" w:lineRule="auto"/>
        <w:ind w:left="720"/>
      </w:pPr>
      <w:r/>
      <w:hyperlink r:id="rId13">
        <w:r>
          <w:rPr>
            <w:color w:val="0000EE"/>
            <w:u w:val="single"/>
          </w:rPr>
          <w:t>[4]</w:t>
        </w:r>
      </w:hyperlink>
      <w:r>
        <w:t xml:space="preserve"> (TechRadar Pro) - Paragraph 5</w:t>
      </w:r>
      <w:r/>
    </w:p>
    <w:p>
      <w:pPr>
        <w:pStyle w:val="ListBullet"/>
        <w:spacing w:line="240" w:lineRule="auto"/>
        <w:ind w:left="720"/>
      </w:pPr>
      <w:r/>
      <w:hyperlink r:id="rId14">
        <w:r>
          <w:rPr>
            <w:color w:val="0000EE"/>
            <w:u w:val="single"/>
          </w:rPr>
          <w:t>[3]</w:t>
        </w:r>
      </w:hyperlink>
      <w:r>
        <w:t xml:space="preserve"> (XenonStack blog) - Paragraph 5, Paragraph 7</w:t>
      </w:r>
      <w:r/>
    </w:p>
    <w:p>
      <w:pPr>
        <w:pStyle w:val="ListBullet"/>
        <w:spacing w:line="240" w:lineRule="auto"/>
        <w:ind w:left="720"/>
      </w:pPr>
      <w:r/>
      <w:hyperlink r:id="rId15">
        <w:r>
          <w:rPr>
            <w:color w:val="0000EE"/>
            <w:u w:val="single"/>
          </w:rPr>
          <w:t>[6]</w:t>
        </w:r>
      </w:hyperlink>
      <w:r>
        <w:t xml:space="preserve"> (arXiv paper) - Paragraph 6</w:t>
      </w:r>
      <w:r/>
      <w:r/>
    </w:p>
    <w:p>
      <w:r/>
      <w:r>
        <w:t>Source:</w:t>
      </w:r>
      <w:hyperlink r:id="rId16">
        <w:r>
          <w:rPr>
            <w:color w:val="0000EE"/>
            <w:u w:val="single"/>
          </w:rPr>
          <w:t xml:space="preserve"> Fuse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https://www.techtarget.com/pharmalifesciences/news/366637297/Trust-concerns-hinder-agentic-AI-adoption-orchestration</w:t>
        </w:r>
      </w:hyperlink>
      <w:r>
        <w:t xml:space="preserve"> - Please view link - unable to able to access data</w:t>
      </w:r>
      <w:r/>
    </w:p>
    <w:p>
      <w:pPr>
        <w:pStyle w:val="ListNumber"/>
        <w:spacing w:line="240" w:lineRule="auto"/>
        <w:ind w:left="720"/>
      </w:pPr>
      <w:r/>
      <w:hyperlink r:id="rId11">
        <w:r>
          <w:rPr>
            <w:color w:val="0000EE"/>
            <w:u w:val="single"/>
          </w:rPr>
          <w:t>https://www.pharmiweb.com/press-release/2025-04-03/life-science-professionals-say-agentic-ai-to-have-most-impact-in-next-2-3-years-but-51-cite-resistance-to-change-as-biggest-barrier-to-innovation</w:t>
        </w:r>
      </w:hyperlink>
      <w:r>
        <w:t xml:space="preserve"> - A Pistoia Alliance report reveals that 51% of life science professionals identify resistance to change as the primary barrier to adopting agentic AI, despite its anticipated significant impact in the next 2-3 years. The study underscores the need for stronger governance and cultural change within the industry to facilitate AI integration. Additionally, 17% of respondents noted that their organizations rarely assess AI-related risks, highlighting a gap in proactive risk management strategies. The findings call for a cultural shift and enhanced risk assessment practices to harness the full potential of agentic AI in life sciences.</w:t>
      </w:r>
      <w:r/>
    </w:p>
    <w:p>
      <w:pPr>
        <w:pStyle w:val="ListNumber"/>
        <w:spacing w:line="240" w:lineRule="auto"/>
        <w:ind w:left="720"/>
      </w:pPr>
      <w:r/>
      <w:hyperlink r:id="rId14">
        <w:r>
          <w:rPr>
            <w:color w:val="0000EE"/>
            <w:u w:val="single"/>
          </w:rPr>
          <w:t>https://www.xenonstack.com/blog/agentic-ai-in-pharmaceutical</w:t>
        </w:r>
      </w:hyperlink>
      <w:r>
        <w:t xml:space="preserve"> - Implementing agentic AI in the pharmaceutical sector presents unique challenges, including ensuring data quality and integration, adhering to regulatory compliance, building trust among human experts, maintaining security and privacy, and addressing ethical concerns. High-quality, well-structured data is essential for AI agents to function effectively, and integrating siloed data sources remains a significant hurdle. Additionally, AI systems must comply with stringent regulatory standards, necessitating transparency and auditability. Building trust through explainability and human-in-the-loop frameworks is crucial, as is implementing robust cybersecurity measures to protect sensitive patient and research data.</w:t>
      </w:r>
      <w:r/>
    </w:p>
    <w:p>
      <w:pPr>
        <w:pStyle w:val="ListNumber"/>
        <w:spacing w:line="240" w:lineRule="auto"/>
        <w:ind w:left="720"/>
      </w:pPr>
      <w:r/>
      <w:hyperlink r:id="rId13">
        <w:r>
          <w:rPr>
            <w:color w:val="0000EE"/>
            <w:u w:val="single"/>
          </w:rPr>
          <w:t>https://www.techradar.com/pro/garbage-in-agentic-out-why-data-and-document-quality-is-critical-to-autonomous-ais-success</w:t>
        </w:r>
      </w:hyperlink>
      <w:r>
        <w:t xml:space="preserve"> - The article emphasizes the critical role of high-quality data in the success of autonomous AI systems. It highlights that poor input data can lead to costly errors, such as flawed loan approvals in banking or misinformation in healthcare scenarios. The piece underscores the importance of advanced scanning technology, OCR accuracy, and data governance practices, arguing that the future of successful autonomous AI depends on a robust foundation of reliable information. With spending on autonomous AI forecasted to reach $155 billion by 2030, prioritizing data quality is imperative for organizations aiming to leverage AI effectively.</w:t>
      </w:r>
      <w:r/>
    </w:p>
    <w:p>
      <w:pPr>
        <w:pStyle w:val="ListNumber"/>
        <w:spacing w:line="240" w:lineRule="auto"/>
        <w:ind w:left="720"/>
      </w:pPr>
      <w:r/>
      <w:hyperlink r:id="rId12">
        <w:r>
          <w:rPr>
            <w:color w:val="0000EE"/>
            <w:u w:val="single"/>
          </w:rPr>
          <w:t>https://www.itpro.com/security/agentic-ai-poses-major-challenge-for-security-professionals-says-palo-alto-networks-emea-ciso</w:t>
        </w:r>
      </w:hyperlink>
      <w:r>
        <w:t xml:space="preserve"> - Haider Pasha, EMEA CISO at Palo Alto Networks, warns that agentic AI poses serious security challenges and predicts a high failure rate among such projects—higher than the 40% forecasted by Gartner for 2027. He attributes this to poor governance, lack of clear business objectives, and weak cybersecurity controls. Despite high interest—93% of enterprises intend to adopt agentic AI—there remains widespread confusion about its definition and application. Pasha likens securing an AI agent to managing an intern, stressing limited privileges and strong identity and access controls.</w:t>
      </w:r>
      <w:r/>
    </w:p>
    <w:p>
      <w:pPr>
        <w:pStyle w:val="ListNumber"/>
        <w:spacing w:line="240" w:lineRule="auto"/>
        <w:ind w:left="720"/>
      </w:pPr>
      <w:r/>
      <w:hyperlink r:id="rId15">
        <w:r>
          <w:rPr>
            <w:color w:val="0000EE"/>
            <w:u w:val="single"/>
          </w:rPr>
          <w:t>https://arxiv.org/abs/2506.02064</w:t>
        </w:r>
      </w:hyperlink>
      <w:r>
        <w:t xml:space="preserve"> - This paper examines the evaluation practices for agentic AI systems, revealing a systemic imbalance that questions prevailing industry productivity claims. A review of 84 papers from 2023 to 2025 shows that technical metrics dominate assessments, while human-centered, safety, and economic evaluations remain peripheral. This imbalance creates a disconnect between benchmark success and real-world deployment value. The authors propose a balanced four-axis evaluation model and call for a paradigm shift to better align industry claims with deployment realities, ensuring responsible scaling of agentic systems in high-stakes domains.</w:t>
      </w:r>
      <w:r/>
    </w:p>
    <w:p>
      <w:pPr>
        <w:pStyle w:val="ListNumber"/>
        <w:spacing w:line="240" w:lineRule="auto"/>
        <w:ind w:left="720"/>
      </w:pPr>
      <w:r/>
      <w:hyperlink r:id="rId10">
        <w:r>
          <w:rPr>
            <w:color w:val="0000EE"/>
            <w:u w:val="single"/>
          </w:rPr>
          <w:t>https://www.mckinsey.com/industries/life-sciences/our-insights/reimagining-life-science-enterprises-with-agentic-ai</w:t>
        </w:r>
      </w:hyperlink>
      <w:r>
        <w:t xml:space="preserve"> - Agentic AI is poised to transform life sciences by shifting AI from a tool to a coworker, catalyzing an end-to-end reimagining of the value chain. McKinsey's analysis of 270 workflows and 1,200 tasks across 180 job families indicates that agentic AI could enhance or automate 75-85% of pharmaceutical workflows and 70-80% of medtech workflows, potentially freeing up 25-40% of an organization's capacity. This transformation is expected to spur growth and reduce costs, with companies potentially achieving incremental growth of 5-13 percentage points in pharma and 3-7 percentage points in medtech over the next three to five years.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target.com/pharmalifesciences/news/366637297/Trust-concerns-hinder-agentic-AI-adoption-orchestration" TargetMode="External"/><Relationship Id="rId10" Type="http://schemas.openxmlformats.org/officeDocument/2006/relationships/hyperlink" Target="https://www.mckinsey.com/industries/life-sciences/our-insights/reimagining-life-science-enterprises-with-agentic-ai" TargetMode="External"/><Relationship Id="rId11" Type="http://schemas.openxmlformats.org/officeDocument/2006/relationships/hyperlink" Target="https://www.pharmiweb.com/press-release/2025-04-03/life-science-professionals-say-agentic-ai-to-have-most-impact-in-next-2-3-years-but-51-cite-resistance-to-change-as-biggest-barrier-to-innovation" TargetMode="External"/><Relationship Id="rId12" Type="http://schemas.openxmlformats.org/officeDocument/2006/relationships/hyperlink" Target="https://www.itpro.com/security/agentic-ai-poses-major-challenge-for-security-professionals-says-palo-alto-networks-emea-ciso" TargetMode="External"/><Relationship Id="rId13" Type="http://schemas.openxmlformats.org/officeDocument/2006/relationships/hyperlink" Target="https://www.techradar.com/pro/garbage-in-agentic-out-why-data-and-document-quality-is-critical-to-autonomous-ais-success" TargetMode="External"/><Relationship Id="rId14" Type="http://schemas.openxmlformats.org/officeDocument/2006/relationships/hyperlink" Target="https://www.xenonstack.com/blog/agentic-ai-in-pharmaceutical" TargetMode="External"/><Relationship Id="rId15" Type="http://schemas.openxmlformats.org/officeDocument/2006/relationships/hyperlink" Target="https://arxiv.org/abs/2506.02064" TargetMode="External"/><Relationship Id="rId16" Type="http://schemas.openxmlformats.org/officeDocument/2006/relationships/hyperlink" Target="https://fusewire.fusesquare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